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84" w:rsidRDefault="00557184">
      <w:pPr>
        <w:pStyle w:val="Standard"/>
        <w:jc w:val="right"/>
      </w:pPr>
      <w:bookmarkStart w:id="0" w:name="_GoBack"/>
      <w:bookmarkEnd w:id="0"/>
    </w:p>
    <w:p w:rsidR="00557184" w:rsidRDefault="002B3B9E">
      <w:pPr>
        <w:pStyle w:val="Standard"/>
        <w:jc w:val="right"/>
      </w:pPr>
      <w:r>
        <w:rPr>
          <w:sz w:val="20"/>
          <w:szCs w:val="20"/>
          <w:shd w:val="clear" w:color="auto" w:fill="FFFFFF"/>
        </w:rPr>
        <w:t>Benenard 16.01.2017 r]</w:t>
      </w:r>
    </w:p>
    <w:p w:rsidR="00557184" w:rsidRDefault="00557184">
      <w:pPr>
        <w:pStyle w:val="Standard"/>
      </w:pPr>
    </w:p>
    <w:p w:rsidR="00557184" w:rsidRDefault="002B3B9E">
      <w:pPr>
        <w:pStyle w:val="Standard"/>
      </w:pPr>
      <w:r>
        <w:rPr>
          <w:rFonts w:ascii="Georgia" w:eastAsia="Georgia" w:hAnsi="Georgia" w:cs="Georgia"/>
          <w:b/>
          <w:sz w:val="20"/>
          <w:szCs w:val="20"/>
          <w:shd w:val="clear" w:color="auto" w:fill="FFFFFF"/>
        </w:rPr>
        <w:t xml:space="preserve">Do: Prezes Sądu Okręgowego </w:t>
      </w:r>
      <w:r>
        <w:rPr>
          <w:rFonts w:ascii="Georgia" w:eastAsia="Georgia" w:hAnsi="Georgia" w:cs="Georgia"/>
          <w:b/>
          <w:sz w:val="20"/>
          <w:szCs w:val="20"/>
        </w:rPr>
        <w:t>SSA Sławomir Bagiński</w:t>
      </w:r>
    </w:p>
    <w:p w:rsidR="00557184" w:rsidRDefault="002B3B9E">
      <w:pPr>
        <w:pStyle w:val="Standard"/>
      </w:pPr>
      <w:r>
        <w:rPr>
          <w:rFonts w:ascii="Georgia" w:eastAsia="Georgia" w:hAnsi="Georgia" w:cs="Georgia"/>
          <w:b/>
          <w:sz w:val="20"/>
          <w:szCs w:val="20"/>
          <w:shd w:val="clear" w:color="auto" w:fill="FFFFFF"/>
        </w:rPr>
        <w:t xml:space="preserve">Sąd Okręgowy w </w:t>
      </w:r>
      <w:r>
        <w:rPr>
          <w:rFonts w:ascii="Georgia" w:eastAsia="Georgia" w:hAnsi="Georgia" w:cs="Georgia"/>
          <w:b/>
          <w:sz w:val="20"/>
          <w:szCs w:val="20"/>
        </w:rPr>
        <w:t>Łomży</w:t>
      </w:r>
    </w:p>
    <w:p w:rsidR="00557184" w:rsidRDefault="002B3B9E">
      <w:pPr>
        <w:pStyle w:val="Standard"/>
      </w:pPr>
      <w:r>
        <w:rPr>
          <w:rFonts w:ascii="Georgia" w:eastAsia="Georgia" w:hAnsi="Georgia" w:cs="Georgia"/>
          <w:b/>
          <w:sz w:val="20"/>
          <w:szCs w:val="20"/>
          <w:shd w:val="clear" w:color="auto" w:fill="FFFFFF"/>
        </w:rPr>
        <w:t>email:</w:t>
      </w:r>
      <w:r>
        <w:rPr>
          <w:rFonts w:ascii="Georgia" w:eastAsia="Georgia" w:hAnsi="Georgia" w:cs="Georgia"/>
          <w:sz w:val="20"/>
          <w:szCs w:val="20"/>
          <w:shd w:val="clear" w:color="auto" w:fill="FFFFFF"/>
        </w:rPr>
        <w:t xml:space="preserve">  </w:t>
      </w:r>
      <w:r>
        <w:rPr>
          <w:rFonts w:ascii="Georgia" w:eastAsia="Georgia" w:hAnsi="Georgia" w:cs="Georgia"/>
          <w:b/>
          <w:sz w:val="20"/>
          <w:szCs w:val="20"/>
          <w:shd w:val="clear" w:color="auto" w:fill="FFFFFF"/>
        </w:rPr>
        <w:t>sekretariat@lomza.so.gov.pl</w:t>
      </w:r>
    </w:p>
    <w:p w:rsidR="00557184" w:rsidRDefault="00557184">
      <w:pPr>
        <w:pStyle w:val="Standard"/>
      </w:pPr>
    </w:p>
    <w:p w:rsidR="00557184" w:rsidRDefault="002B3B9E">
      <w:pPr>
        <w:pStyle w:val="Standard"/>
      </w:pPr>
      <w:r>
        <w:rPr>
          <w:rFonts w:ascii="Georgia" w:eastAsia="Georgia" w:hAnsi="Georgia" w:cs="Georgia"/>
          <w:b/>
          <w:sz w:val="20"/>
          <w:szCs w:val="20"/>
          <w:shd w:val="clear" w:color="auto" w:fill="FFFFFF"/>
        </w:rPr>
        <w:t>do wiadomości:</w:t>
      </w:r>
      <w:r>
        <w:rPr>
          <w:rFonts w:ascii="Georgia" w:eastAsia="Georgia" w:hAnsi="Georgia" w:cs="Georgia"/>
          <w:sz w:val="20"/>
          <w:szCs w:val="20"/>
          <w:shd w:val="clear" w:color="auto" w:fill="FFFFFF"/>
        </w:rPr>
        <w:t xml:space="preserve">  </w:t>
      </w:r>
    </w:p>
    <w:p w:rsidR="00557184" w:rsidRDefault="002B3B9E">
      <w:pPr>
        <w:pStyle w:val="Standard"/>
      </w:pPr>
      <w:r>
        <w:rPr>
          <w:rFonts w:ascii="Georgia" w:eastAsia="Georgia" w:hAnsi="Georgia" w:cs="Georgia"/>
          <w:sz w:val="20"/>
          <w:szCs w:val="20"/>
          <w:shd w:val="clear" w:color="auto" w:fill="FFFFFF"/>
        </w:rPr>
        <w:t xml:space="preserve">Minister Sprawiedliwości: </w:t>
      </w:r>
      <w:r>
        <w:rPr>
          <w:rFonts w:ascii="Georgia" w:eastAsia="Georgia" w:hAnsi="Georgia" w:cs="Georgia"/>
          <w:b/>
          <w:sz w:val="20"/>
          <w:szCs w:val="20"/>
          <w:shd w:val="clear" w:color="auto" w:fill="FFFFFF"/>
        </w:rPr>
        <w:t xml:space="preserve">wnioski@ms.gov.pl     </w:t>
      </w:r>
    </w:p>
    <w:p w:rsidR="00557184" w:rsidRDefault="002B3B9E">
      <w:pPr>
        <w:pStyle w:val="Standard"/>
      </w:pPr>
      <w:r>
        <w:rPr>
          <w:rFonts w:ascii="Georgia" w:eastAsia="Georgia" w:hAnsi="Georgia" w:cs="Georgia"/>
          <w:sz w:val="20"/>
          <w:szCs w:val="20"/>
          <w:shd w:val="clear" w:color="auto" w:fill="FFFFFF"/>
        </w:rPr>
        <w:t xml:space="preserve">Krajowa Szkoła Sądownictwa i Prokuratury: </w:t>
      </w:r>
      <w:r>
        <w:rPr>
          <w:rFonts w:ascii="Georgia" w:eastAsia="Georgia" w:hAnsi="Georgia" w:cs="Georgia"/>
          <w:b/>
          <w:sz w:val="20"/>
          <w:szCs w:val="20"/>
          <w:shd w:val="clear" w:color="auto" w:fill="FFFFFF"/>
        </w:rPr>
        <w:t>sekretariat@kssip.gov.pl</w:t>
      </w:r>
    </w:p>
    <w:p w:rsidR="00557184" w:rsidRDefault="00557184">
      <w:pPr>
        <w:pStyle w:val="Standard"/>
      </w:pPr>
    </w:p>
    <w:p w:rsidR="00557184" w:rsidRDefault="002B3B9E">
      <w:pPr>
        <w:pStyle w:val="Standard"/>
        <w:jc w:val="center"/>
      </w:pPr>
      <w:r>
        <w:rPr>
          <w:rFonts w:ascii="Georgia" w:eastAsia="Georgia" w:hAnsi="Georgia" w:cs="Georgia"/>
          <w:b/>
          <w:sz w:val="20"/>
          <w:szCs w:val="20"/>
          <w:shd w:val="clear" w:color="auto" w:fill="FFFFFF"/>
        </w:rPr>
        <w:t>Petycja</w:t>
      </w:r>
    </w:p>
    <w:p w:rsidR="00557184" w:rsidRDefault="002B3B9E">
      <w:pPr>
        <w:pStyle w:val="Standard"/>
        <w:jc w:val="center"/>
      </w:pPr>
      <w:r>
        <w:rPr>
          <w:rFonts w:ascii="Georgia" w:eastAsia="Georgia" w:hAnsi="Georgia" w:cs="Georgia"/>
          <w:b/>
          <w:sz w:val="20"/>
          <w:szCs w:val="20"/>
          <w:shd w:val="clear" w:color="auto" w:fill="FFFFFF"/>
        </w:rPr>
        <w:t>o udostępnienie materiałów informacyjnych</w:t>
      </w:r>
    </w:p>
    <w:p w:rsidR="00557184" w:rsidRDefault="002B3B9E">
      <w:pPr>
        <w:pStyle w:val="Standard"/>
        <w:jc w:val="center"/>
      </w:pPr>
      <w:r>
        <w:rPr>
          <w:rFonts w:ascii="Georgia" w:eastAsia="Georgia" w:hAnsi="Georgia" w:cs="Georgia"/>
          <w:b/>
          <w:sz w:val="20"/>
          <w:szCs w:val="20"/>
          <w:shd w:val="clear" w:color="auto" w:fill="FFFFFF"/>
        </w:rPr>
        <w:t>sędziom Sądu Okręgowego w Łomży</w:t>
      </w:r>
    </w:p>
    <w:p w:rsidR="00557184" w:rsidRDefault="002B3B9E">
      <w:pPr>
        <w:pStyle w:val="Standard"/>
        <w:jc w:val="center"/>
      </w:pPr>
      <w:r>
        <w:rPr>
          <w:rFonts w:ascii="Georgia" w:eastAsia="Georgia" w:hAnsi="Georgia" w:cs="Georgia"/>
          <w:b/>
          <w:sz w:val="20"/>
          <w:szCs w:val="20"/>
          <w:shd w:val="clear" w:color="auto" w:fill="FFFFFF"/>
        </w:rPr>
        <w:t>oraz sędziom</w:t>
      </w:r>
    </w:p>
    <w:p w:rsidR="00557184" w:rsidRDefault="002B3B9E">
      <w:pPr>
        <w:pStyle w:val="Standard"/>
        <w:jc w:val="center"/>
      </w:pPr>
      <w:r>
        <w:rPr>
          <w:rFonts w:ascii="Georgia" w:eastAsia="Georgia" w:hAnsi="Georgia" w:cs="Georgia"/>
          <w:b/>
          <w:sz w:val="20"/>
          <w:szCs w:val="20"/>
          <w:shd w:val="clear" w:color="auto" w:fill="FFFFFF"/>
        </w:rPr>
        <w:t>podległych Sądowi Okręgowemu Sądów Rejonowych.</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t>Szanowny Panie Prezesie,</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557184" w:rsidRDefault="00557184">
      <w:pPr>
        <w:pStyle w:val="Standard"/>
      </w:pPr>
    </w:p>
    <w:p w:rsidR="00557184" w:rsidRDefault="002B3B9E">
      <w:pPr>
        <w:pStyle w:val="Standard"/>
      </w:pPr>
      <w:r>
        <w:rPr>
          <w:rFonts w:ascii="Georgia" w:eastAsia="Georgia" w:hAnsi="Georgia" w:cs="Georgia"/>
          <w:b/>
          <w:sz w:val="20"/>
          <w:szCs w:val="20"/>
          <w:shd w:val="clear" w:color="auto" w:fill="FFFFFF"/>
        </w:rPr>
        <w:t>Uzasadnienie.</w:t>
      </w:r>
    </w:p>
    <w:p w:rsidR="00557184" w:rsidRDefault="00557184">
      <w:pPr>
        <w:pStyle w:val="Standard"/>
      </w:pPr>
    </w:p>
    <w:p w:rsidR="00557184" w:rsidRDefault="002B3B9E">
      <w:pPr>
        <w:pStyle w:val="Standard"/>
      </w:pPr>
      <w:r>
        <w:rPr>
          <w:rFonts w:ascii="Georgia" w:eastAsia="Georgia" w:hAnsi="Georgia" w:cs="Georgia"/>
          <w:sz w:val="20"/>
          <w:szCs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shd w:val="clear" w:color="auto" w:fill="FFFFFF"/>
        </w:rPr>
        <w:t>dostrzegając doniosłość</w:t>
      </w:r>
      <w:r>
        <w:rPr>
          <w:rFonts w:ascii="Georgia" w:eastAsia="Georgia" w:hAnsi="Georgia" w:cs="Georgia"/>
          <w:sz w:val="20"/>
          <w:szCs w:val="20"/>
          <w:shd w:val="clear" w:color="auto" w:fill="FFFFFF"/>
        </w:rPr>
        <w:t>” tego zagadnienia, przyznało, iż przeprowadzenie szkoleń dla sędziów z tej tematyki “</w:t>
      </w:r>
      <w:r>
        <w:rPr>
          <w:rFonts w:ascii="Georgia" w:eastAsia="Georgia" w:hAnsi="Georgia" w:cs="Georgia"/>
          <w:i/>
          <w:sz w:val="20"/>
          <w:szCs w:val="20"/>
          <w:shd w:val="clear" w:color="auto" w:fill="FFFFFF"/>
        </w:rPr>
        <w:t>ma charakter istotny</w:t>
      </w:r>
      <w:r>
        <w:rPr>
          <w:rFonts w:ascii="Georgia" w:eastAsia="Georgia" w:hAnsi="Georgia" w:cs="Georgia"/>
          <w:sz w:val="20"/>
          <w:szCs w:val="20"/>
          <w:shd w:val="clear" w:color="auto" w:fill="FFFFFF"/>
        </w:rPr>
        <w:t>”.</w:t>
      </w:r>
    </w:p>
    <w:p w:rsidR="00557184" w:rsidRDefault="00557184">
      <w:pPr>
        <w:pStyle w:val="Standard"/>
      </w:pPr>
    </w:p>
    <w:p w:rsidR="00557184" w:rsidRDefault="002B3B9E">
      <w:pPr>
        <w:pStyle w:val="Standard"/>
      </w:pPr>
      <w:r>
        <w:rPr>
          <w:rFonts w:ascii="Georgia" w:eastAsia="Georgia" w:hAnsi="Georgia" w:cs="Georgia"/>
          <w:sz w:val="20"/>
          <w:szCs w:val="20"/>
          <w:shd w:val="clear" w:color="auto" w:fill="FFFFFF"/>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557184" w:rsidRDefault="00557184">
      <w:pPr>
        <w:pStyle w:val="Standard"/>
      </w:pPr>
    </w:p>
    <w:p w:rsidR="00557184" w:rsidRDefault="002B3B9E">
      <w:pPr>
        <w:pStyle w:val="Standard"/>
      </w:pPr>
      <w:r>
        <w:rPr>
          <w:rFonts w:ascii="Georgia" w:eastAsia="Georgia" w:hAnsi="Georgia" w:cs="Georgia"/>
          <w:sz w:val="20"/>
          <w:szCs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557184" w:rsidRDefault="002B3B9E">
      <w:pPr>
        <w:pStyle w:val="Standard"/>
      </w:pPr>
      <w:r>
        <w:rPr>
          <w:rFonts w:ascii="Georgia" w:eastAsia="Georgia" w:hAnsi="Georgia" w:cs="Georgia"/>
          <w:b/>
          <w:sz w:val="20"/>
          <w:szCs w:val="20"/>
        </w:rPr>
        <w:t xml:space="preserve"> </w:t>
      </w:r>
    </w:p>
    <w:p w:rsidR="00557184" w:rsidRDefault="002B3B9E">
      <w:pPr>
        <w:pStyle w:val="Standard"/>
      </w:pPr>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557184" w:rsidRDefault="00557184">
      <w:pPr>
        <w:pStyle w:val="Standard"/>
      </w:pPr>
    </w:p>
    <w:p w:rsidR="00557184" w:rsidRDefault="002B3B9E">
      <w:pPr>
        <w:pStyle w:val="Standard"/>
      </w:pPr>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557184" w:rsidRDefault="00557184">
      <w:pPr>
        <w:pStyle w:val="Standard"/>
      </w:pPr>
    </w:p>
    <w:p w:rsidR="00557184" w:rsidRDefault="002B3B9E">
      <w:pPr>
        <w:pStyle w:val="Standard"/>
      </w:pPr>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557184" w:rsidRDefault="00557184">
      <w:pPr>
        <w:pStyle w:val="Standard"/>
      </w:pPr>
    </w:p>
    <w:p w:rsidR="00557184" w:rsidRDefault="002B3B9E">
      <w:pPr>
        <w:pStyle w:val="Standard"/>
      </w:pPr>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w:t>
      </w:r>
    </w:p>
    <w:p w:rsidR="00557184" w:rsidRDefault="00557184">
      <w:pPr>
        <w:pStyle w:val="Standard"/>
      </w:pPr>
    </w:p>
    <w:p w:rsidR="00557184" w:rsidRDefault="002B3B9E">
      <w:pPr>
        <w:pStyle w:val="Standard"/>
      </w:pPr>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shd w:val="clear" w:color="auto" w:fill="FFFFFF"/>
        </w:rPr>
        <w:t>w dniu zawierania umowy</w:t>
      </w:r>
      <w:r>
        <w:rPr>
          <w:rFonts w:ascii="Georgia" w:eastAsia="Georgia" w:hAnsi="Georgia" w:cs="Georgia"/>
          <w:sz w:val="20"/>
          <w:szCs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shd w:val="clear" w:color="auto" w:fill="FFFFFF"/>
        </w:rPr>
        <w:t xml:space="preserve">Oceny zgodności postanowienia umowy z dobrymi obyczajami dokonuje się </w:t>
      </w:r>
      <w:r>
        <w:rPr>
          <w:rFonts w:ascii="Georgia" w:eastAsia="Georgia" w:hAnsi="Georgia" w:cs="Georgia"/>
          <w:b/>
          <w:i/>
          <w:sz w:val="20"/>
          <w:szCs w:val="20"/>
          <w:shd w:val="clear" w:color="auto" w:fill="FFFFFF"/>
        </w:rPr>
        <w:t>według stanu z chwili zawarcia umowy</w:t>
      </w:r>
      <w:r>
        <w:rPr>
          <w:rFonts w:ascii="Georgia" w:eastAsia="Georgia" w:hAnsi="Georgia" w:cs="Georgia"/>
          <w:i/>
          <w:sz w:val="20"/>
          <w:szCs w:val="20"/>
          <w:shd w:val="clear" w:color="auto" w:fill="FFFFFF"/>
        </w:rPr>
        <w:t>, biorąc pod uwagę jej treść, okoliczności zawarcia oraz uwzględniając umowy pozostające w związku z umową obejmującą postanowienie będące przedmiotem oceny.</w:t>
      </w:r>
      <w:r>
        <w:rPr>
          <w:rFonts w:ascii="Georgia" w:eastAsia="Georgia" w:hAnsi="Georgia" w:cs="Georgia"/>
          <w:sz w:val="20"/>
          <w:szCs w:val="20"/>
          <w:shd w:val="clear" w:color="auto" w:fill="FFFFFF"/>
        </w:rPr>
        <w:t>”</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557184" w:rsidRDefault="00557184">
      <w:pPr>
        <w:pStyle w:val="Standard"/>
      </w:pPr>
    </w:p>
    <w:p w:rsidR="00557184" w:rsidRDefault="002B3B9E">
      <w:pPr>
        <w:pStyle w:val="Standard"/>
      </w:pPr>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557184" w:rsidRDefault="00557184">
      <w:pPr>
        <w:pStyle w:val="Standard"/>
      </w:pPr>
    </w:p>
    <w:p w:rsidR="00557184" w:rsidRDefault="002B3B9E">
      <w:pPr>
        <w:pStyle w:val="Standard"/>
      </w:pPr>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557184" w:rsidRDefault="00557184">
      <w:pPr>
        <w:pStyle w:val="Standard"/>
      </w:pPr>
    </w:p>
    <w:p w:rsidR="00557184" w:rsidRDefault="002B3B9E">
      <w:pPr>
        <w:pStyle w:val="Standard"/>
        <w:numPr>
          <w:ilvl w:val="0"/>
          <w:numId w:val="2"/>
        </w:numPr>
        <w:ind w:hanging="360"/>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557184" w:rsidRDefault="002B3B9E">
      <w:pPr>
        <w:pStyle w:val="Standard"/>
        <w:numPr>
          <w:ilvl w:val="0"/>
          <w:numId w:val="1"/>
        </w:numPr>
        <w:ind w:hanging="360"/>
      </w:pPr>
      <w:r>
        <w:rPr>
          <w:rFonts w:ascii="Georgia" w:eastAsia="Georgia" w:hAnsi="Georgia" w:cs="Georgia"/>
          <w:sz w:val="20"/>
          <w:szCs w:val="20"/>
        </w:rPr>
        <w:t>DYREKTYWA RADY 93/13/EWG z dnia 5 kwietnia 1993 r. w sprawie nieuczciwych warunków w umowach konsumenckich</w:t>
      </w:r>
    </w:p>
    <w:p w:rsidR="00557184" w:rsidRDefault="002B3B9E">
      <w:pPr>
        <w:pStyle w:val="Standard"/>
        <w:numPr>
          <w:ilvl w:val="0"/>
          <w:numId w:val="1"/>
        </w:numPr>
        <w:ind w:hanging="360"/>
      </w:pPr>
      <w:r>
        <w:rPr>
          <w:rFonts w:ascii="Georgia" w:eastAsia="Georgia" w:hAnsi="Georgia" w:cs="Georgia"/>
          <w:sz w:val="20"/>
          <w:szCs w:val="20"/>
        </w:rPr>
        <w:t>Informacja UOKiK o sprostowaniu do Dyrektywy  Rady 93/13/EWG z dnia 5 kwietnia 1993 r. w sprawie nieuczciwych warunków w umowach konsumenckich</w:t>
      </w:r>
    </w:p>
    <w:p w:rsidR="00557184" w:rsidRDefault="002B3B9E">
      <w:pPr>
        <w:pStyle w:val="Standard"/>
        <w:numPr>
          <w:ilvl w:val="0"/>
          <w:numId w:val="1"/>
        </w:numPr>
        <w:ind w:hanging="360"/>
      </w:pPr>
      <w:r>
        <w:rPr>
          <w:rFonts w:ascii="Georgia" w:eastAsia="Georgia" w:hAnsi="Georgia" w:cs="Georgia"/>
          <w:sz w:val="20"/>
          <w:szCs w:val="20"/>
        </w:rPr>
        <w:t>Sprostowanie do dyrektywy Rady 93/13/EWG z dnia 5 kwietnia 1993 r. w sprawie nieuczciwych warunków w umowach konsumenckich</w:t>
      </w:r>
    </w:p>
    <w:p w:rsidR="00557184" w:rsidRDefault="002B3B9E">
      <w:pPr>
        <w:pStyle w:val="Standard"/>
        <w:numPr>
          <w:ilvl w:val="0"/>
          <w:numId w:val="1"/>
        </w:numPr>
        <w:ind w:hanging="360"/>
      </w:pPr>
      <w:r>
        <w:rPr>
          <w:rFonts w:ascii="Georgia" w:eastAsia="Georgia" w:hAnsi="Georgia" w:cs="Georgia"/>
          <w:sz w:val="20"/>
          <w:szCs w:val="20"/>
        </w:rPr>
        <w:t>Istotny pogląd Prezesa UOKiK w sprawie umowy kredytu waloryzowanego (mBank)</w:t>
      </w:r>
    </w:p>
    <w:p w:rsidR="00557184" w:rsidRDefault="002B3B9E">
      <w:pPr>
        <w:pStyle w:val="Standard"/>
        <w:numPr>
          <w:ilvl w:val="0"/>
          <w:numId w:val="1"/>
        </w:numPr>
        <w:ind w:hanging="360"/>
      </w:pPr>
      <w:r>
        <w:rPr>
          <w:rFonts w:ascii="Georgia" w:eastAsia="Georgia" w:hAnsi="Georgia" w:cs="Georgia"/>
          <w:sz w:val="20"/>
          <w:szCs w:val="20"/>
        </w:rPr>
        <w:t>Istotny pogląd Prezesa UOKiK w sprawie umowy kredytu waloryzowanego (Eurobank)</w:t>
      </w:r>
    </w:p>
    <w:p w:rsidR="00557184" w:rsidRDefault="002B3B9E">
      <w:pPr>
        <w:pStyle w:val="Standard"/>
        <w:numPr>
          <w:ilvl w:val="0"/>
          <w:numId w:val="1"/>
        </w:numPr>
        <w:ind w:hanging="360"/>
      </w:pPr>
      <w:r>
        <w:rPr>
          <w:rFonts w:ascii="Georgia" w:eastAsia="Georgia" w:hAnsi="Georgia" w:cs="Georgia"/>
          <w:sz w:val="20"/>
          <w:szCs w:val="20"/>
        </w:rPr>
        <w:t>Istotny pogląd Rzecznika Finansowego w sprawie umowy kredytu indeksowanego (Bank Millenium)</w:t>
      </w:r>
    </w:p>
    <w:p w:rsidR="00557184" w:rsidRDefault="002B3B9E">
      <w:pPr>
        <w:pStyle w:val="Standard"/>
        <w:numPr>
          <w:ilvl w:val="0"/>
          <w:numId w:val="1"/>
        </w:numPr>
        <w:ind w:hanging="360"/>
      </w:pPr>
      <w:r>
        <w:rPr>
          <w:rFonts w:ascii="Georgia" w:eastAsia="Georgia" w:hAnsi="Georgia" w:cs="Georgia"/>
          <w:sz w:val="20"/>
          <w:szCs w:val="20"/>
        </w:rPr>
        <w:t>Petycja do Ministra Sprawiedliwości w sprawie przeprowadzenia szkoleń dla sędziów sądów powszechnych</w:t>
      </w:r>
    </w:p>
    <w:p w:rsidR="00557184" w:rsidRDefault="002B3B9E">
      <w:pPr>
        <w:pStyle w:val="Standard"/>
        <w:numPr>
          <w:ilvl w:val="0"/>
          <w:numId w:val="1"/>
        </w:numPr>
        <w:ind w:hanging="360"/>
      </w:pPr>
      <w:r>
        <w:rPr>
          <w:rFonts w:ascii="Georgia" w:eastAsia="Georgia" w:hAnsi="Georgia" w:cs="Georgia"/>
          <w:sz w:val="20"/>
          <w:szCs w:val="20"/>
        </w:rPr>
        <w:t>Odpowiedź Ministerstwa Sprawiedliwości na petycję w sprawie przeprowadzenia szkoleń dla sędziów sądów powszechnych.</w:t>
      </w:r>
    </w:p>
    <w:p w:rsidR="00557184" w:rsidRDefault="00557184">
      <w:pPr>
        <w:pStyle w:val="Standard"/>
      </w:pP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t>Z powyższych względów - z uwagi na ważny interes społeczny - niniejszy wniosek  jest w pełni racjonalny i uzasadniony, a zatem zasługuje na pozytywne rozpatrzenie, o co niniejszym wnoszę.</w:t>
      </w:r>
    </w:p>
    <w:p w:rsidR="00557184" w:rsidRDefault="002B3B9E">
      <w:pPr>
        <w:pStyle w:val="Standard"/>
      </w:pPr>
      <w:r>
        <w:rPr>
          <w:rFonts w:ascii="Georgia" w:eastAsia="Georgia" w:hAnsi="Georgia" w:cs="Georgia"/>
          <w:sz w:val="20"/>
          <w:szCs w:val="20"/>
        </w:rPr>
        <w:t xml:space="preserve"> </w:t>
      </w:r>
    </w:p>
    <w:p w:rsidR="00557184" w:rsidRDefault="002B3B9E">
      <w:pPr>
        <w:pStyle w:val="Standard"/>
      </w:pPr>
      <w:r>
        <w:rPr>
          <w:rFonts w:ascii="Georgia" w:eastAsia="Georgia" w:hAnsi="Georgia" w:cs="Georgia"/>
          <w:sz w:val="20"/>
          <w:szCs w:val="20"/>
          <w:shd w:val="clear" w:color="auto" w:fill="FFFFFF"/>
        </w:rPr>
        <w:t>Niniejszym oświadczam, iż nie wyrażam zgody na publikację moich danych osobowych.</w:t>
      </w:r>
    </w:p>
    <w:p w:rsidR="00557184" w:rsidRDefault="002B3B9E">
      <w:pPr>
        <w:pStyle w:val="Standard"/>
      </w:pPr>
      <w:r>
        <w:rPr>
          <w:rFonts w:ascii="Georgia" w:eastAsia="Georgia" w:hAnsi="Georgia" w:cs="Georgia"/>
          <w:sz w:val="20"/>
          <w:szCs w:val="20"/>
        </w:rPr>
        <w:t xml:space="preserve"> </w:t>
      </w:r>
    </w:p>
    <w:p w:rsidR="00557184" w:rsidRDefault="00557184">
      <w:pPr>
        <w:pStyle w:val="Standard"/>
      </w:pPr>
    </w:p>
    <w:sectPr w:rsidR="00557184">
      <w:headerReference w:type="default" r:id="rId7"/>
      <w:foot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9E" w:rsidRDefault="002B3B9E">
      <w:pPr>
        <w:spacing w:line="240" w:lineRule="auto"/>
      </w:pPr>
      <w:r>
        <w:separator/>
      </w:r>
    </w:p>
  </w:endnote>
  <w:endnote w:type="continuationSeparator" w:id="0">
    <w:p w:rsidR="002B3B9E" w:rsidRDefault="002B3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58" w:rsidRDefault="002B3B9E">
    <w:pPr>
      <w:pStyle w:val="Standard"/>
      <w:jc w:val="right"/>
    </w:pPr>
    <w:r>
      <w:rPr>
        <w:i/>
        <w:sz w:val="16"/>
        <w:szCs w:val="16"/>
      </w:rPr>
      <w:t xml:space="preserve">Petycja do Prezesa Sądu Okręgowego, strona nr </w:t>
    </w:r>
    <w:r>
      <w:fldChar w:fldCharType="begin"/>
    </w:r>
    <w:r>
      <w:instrText xml:space="preserve"> PAGE </w:instrText>
    </w:r>
    <w:r>
      <w:fldChar w:fldCharType="separate"/>
    </w:r>
    <w:r w:rsidR="005545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9E" w:rsidRDefault="002B3B9E">
      <w:pPr>
        <w:spacing w:line="240" w:lineRule="auto"/>
      </w:pPr>
      <w:r>
        <w:separator/>
      </w:r>
    </w:p>
  </w:footnote>
  <w:footnote w:type="continuationSeparator" w:id="0">
    <w:p w:rsidR="002B3B9E" w:rsidRDefault="002B3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58" w:rsidRDefault="002B3B9E">
    <w:pPr>
      <w:pStyle w:val="Standard"/>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562D4"/>
    <w:multiLevelType w:val="multilevel"/>
    <w:tmpl w:val="533C9328"/>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84"/>
    <w:rsid w:val="002B3B9E"/>
    <w:rsid w:val="005545EA"/>
    <w:rsid w:val="00557184"/>
    <w:rsid w:val="009F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616ED-0C09-469A-B237-C7527D3F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kern w:val="3"/>
        <w:sz w:val="22"/>
        <w:szCs w:val="22"/>
        <w:lang w:val="pl-PL" w:eastAsia="pl-PL" w:bidi="ar-SA"/>
      </w:rPr>
    </w:rPrDefault>
    <w:pPrDefault>
      <w:pPr>
        <w:widowControl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00" w:after="120"/>
      <w:outlineLvl w:val="0"/>
    </w:pPr>
    <w:rPr>
      <w:sz w:val="40"/>
      <w:szCs w:val="40"/>
    </w:rPr>
  </w:style>
  <w:style w:type="paragraph" w:styleId="Nagwek2">
    <w:name w:val="heading 2"/>
    <w:basedOn w:val="Standard"/>
    <w:next w:val="Textbody"/>
    <w:pPr>
      <w:keepNext/>
      <w:keepLines/>
      <w:spacing w:before="360" w:after="120"/>
      <w:outlineLvl w:val="1"/>
    </w:pPr>
    <w:rPr>
      <w:sz w:val="32"/>
      <w:szCs w:val="32"/>
    </w:rPr>
  </w:style>
  <w:style w:type="paragraph" w:styleId="Nagwek3">
    <w:name w:val="heading 3"/>
    <w:basedOn w:val="Standard"/>
    <w:next w:val="Textbody"/>
    <w:pPr>
      <w:keepNext/>
      <w:keepLines/>
      <w:spacing w:before="320" w:after="80"/>
      <w:outlineLvl w:val="2"/>
    </w:pPr>
    <w:rPr>
      <w:color w:val="434343"/>
      <w:sz w:val="28"/>
      <w:szCs w:val="28"/>
    </w:rPr>
  </w:style>
  <w:style w:type="paragraph" w:styleId="Nagwek4">
    <w:name w:val="heading 4"/>
    <w:basedOn w:val="Standard"/>
    <w:next w:val="Textbody"/>
    <w:pPr>
      <w:keepNext/>
      <w:keepLines/>
      <w:spacing w:before="280" w:after="80"/>
      <w:outlineLvl w:val="3"/>
    </w:pPr>
    <w:rPr>
      <w:color w:val="666666"/>
      <w:sz w:val="24"/>
      <w:szCs w:val="24"/>
    </w:rPr>
  </w:style>
  <w:style w:type="paragraph" w:styleId="Nagwek5">
    <w:name w:val="heading 5"/>
    <w:basedOn w:val="Standard"/>
    <w:next w:val="Textbody"/>
    <w:pPr>
      <w:keepNext/>
      <w:keepLines/>
      <w:spacing w:before="240" w:after="80"/>
      <w:outlineLvl w:val="4"/>
    </w:pPr>
    <w:rPr>
      <w:color w:val="666666"/>
    </w:rPr>
  </w:style>
  <w:style w:type="paragraph" w:styleId="Nagwek6">
    <w:name w:val="heading 6"/>
    <w:basedOn w:val="Standard"/>
    <w:next w:val="Textbod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color w:val="auto"/>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ytu">
    <w:name w:val="Title"/>
    <w:basedOn w:val="Standard"/>
    <w:next w:val="Podtytu"/>
    <w:pPr>
      <w:keepNext/>
      <w:keepLines/>
      <w:spacing w:after="60"/>
    </w:pPr>
    <w:rPr>
      <w:b/>
      <w:bCs/>
      <w:sz w:val="52"/>
      <w:szCs w:val="52"/>
    </w:rPr>
  </w:style>
  <w:style w:type="paragraph" w:styleId="Podtytu">
    <w:name w:val="Subtitle"/>
    <w:basedOn w:val="Standard"/>
    <w:next w:val="Textbody"/>
    <w:pPr>
      <w:keepNext/>
      <w:keepLines/>
      <w:spacing w:after="320"/>
    </w:pPr>
    <w:rPr>
      <w:i/>
      <w:iCs/>
      <w:color w:val="666666"/>
      <w:sz w:val="30"/>
      <w:szCs w:val="30"/>
    </w:r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character" w:customStyle="1" w:styleId="ListLabel1">
    <w:name w:val="ListLabel 1"/>
    <w:rPr>
      <w:u w:val="none"/>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11862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2017-02-07T12:11:00Z</dcterms:created>
  <dcterms:modified xsi:type="dcterms:W3CDTF">2017-02-07T12:11:00Z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