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Wysokiem Maz.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2022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451</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2 081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2 123</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409</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1 179</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1 216</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208</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439</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138</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334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379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24</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r>
      <w:tr w:rsidR="004E6E15" w:rsidRPr="00CE79D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r>
      <w:tr w:rsidR="004E6E15"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96"/>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2F0BAF"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236"/>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203"/>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343"/>
        </w:trPr>
        <w:tc>
          <w:tcPr>
            <w:tcW w:w="3565" w:type="dxa"/>
            <w:gridSpan w:val="6"/>
            <w:tcBorders>
              <w:left w:val="single" w:sz="8" w:space="0" w:color="auto"/>
              <w:right w:val="single" w:sz="12" w:space="0" w:color="auto"/>
            </w:tcBorders>
            <w:shd w:val="clear" w:color="auto" w:fill="auto"/>
            <w:vAlign w:val="center"/>
          </w:tcPr>
          <w:p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r>
      <w:tr w:rsidR="002F0BAF" w:rsidRPr="00CE79D7" w:rsidTr="00E17B2B">
        <w:trPr>
          <w:cantSplit/>
          <w:trHeight w:val="245"/>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3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265</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251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38</w:t>
            </w:r>
          </w:p>
        </w:tc>
      </w:tr>
      <w:tr w:rsidR="002F0BAF" w:rsidRPr="00CE79D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318</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318</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8"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36</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244</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244</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31</w:t>
            </w: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31</w:t>
            </w: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201</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571</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576</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196</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r>
      <w:tr w:rsidR="002F0BAF" w:rsidRPr="00494A55"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9</w:t>
            </w:r>
            <w:r>
              <w:rPr>
                <w:rFonts w:ascii="Arial" w:hAnsi="Arial" w:cs="Arial"/>
                <w:sz w:val="12"/>
              </w:rPr>
              <w:t>9</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9</w:t>
            </w:r>
          </w:p>
        </w:tc>
        <w:tc>
          <w:tcPr>
            <w:tcW w:w="1521"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1</w:t>
            </w:r>
          </w:p>
        </w:tc>
      </w:tr>
    </w:tbl>
    <w:p w:rsidR="009A1897" w:rsidRPr="00CE79D7" w:rsidRDefault="00D87BD2">
      <w:pPr>
        <w:spacing w:before="60" w:line="140" w:lineRule="exact"/>
        <w:rPr>
          <w:rFonts w:ascii="Arial" w:hAnsi="Arial" w:cs="Arial"/>
          <w:sz w:val="13"/>
          <w:szCs w:val="13"/>
        </w:rPr>
      </w:pPr>
      <w:r w:rsidRPr="00977BDC">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335" r="571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83E7"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2 081</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398</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571</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140</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959</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882</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317</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565</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32</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1 105</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133</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959</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2 123</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439</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576</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140</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955</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501</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459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1 555</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332</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115</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140</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955</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262</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214</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193</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144</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210</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42</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459</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12</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17</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317</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33</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346</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2 662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223</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302</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300</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841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443</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1 008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641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2 101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1 255</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846</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846</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398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1 008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607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523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314</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220</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2 123</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189</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71</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439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74</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17</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42</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140</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955</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637</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318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576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1 934</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1 157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777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777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140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88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52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52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955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580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637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366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318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214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512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287</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225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225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61</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41</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58</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38</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409</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261</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148</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109</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138</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86</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117</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76</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41</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32</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420</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98</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363</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263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382</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145</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49</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339</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262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153</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175</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552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129</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83</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61</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56</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29</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25</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6</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2</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41</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a)2</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b)7</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c)3</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20</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20</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20</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19</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21</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D87BD2"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8C" w:rsidRDefault="000D708C">
      <w:r>
        <w:separator/>
      </w:r>
    </w:p>
  </w:endnote>
  <w:endnote w:type="continuationSeparator" w:id="0">
    <w:p w:rsidR="000D708C" w:rsidRDefault="000D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977BDC" w:rsidRPr="0011733D">
      <w:rPr>
        <w:rFonts w:ascii="Arial" w:hAnsi="Arial" w:cs="Arial"/>
        <w:b/>
        <w:bCs/>
        <w:sz w:val="16"/>
        <w:szCs w:val="16"/>
      </w:rPr>
      <w:fldChar w:fldCharType="begin"/>
    </w:r>
    <w:r w:rsidRPr="0011733D">
      <w:rPr>
        <w:rFonts w:ascii="Arial" w:hAnsi="Arial" w:cs="Arial"/>
        <w:b/>
        <w:bCs/>
        <w:sz w:val="16"/>
        <w:szCs w:val="16"/>
      </w:rPr>
      <w:instrText>PAGE</w:instrText>
    </w:r>
    <w:r w:rsidR="00977BDC" w:rsidRPr="0011733D">
      <w:rPr>
        <w:rFonts w:ascii="Arial" w:hAnsi="Arial" w:cs="Arial"/>
        <w:b/>
        <w:bCs/>
        <w:sz w:val="16"/>
        <w:szCs w:val="16"/>
      </w:rPr>
      <w:fldChar w:fldCharType="separate"/>
    </w:r>
    <w:r w:rsidR="00D87BD2">
      <w:rPr>
        <w:rFonts w:ascii="Arial" w:hAnsi="Arial" w:cs="Arial"/>
        <w:b/>
        <w:bCs/>
        <w:noProof/>
        <w:sz w:val="16"/>
        <w:szCs w:val="16"/>
      </w:rPr>
      <w:t>2</w:t>
    </w:r>
    <w:r w:rsidR="00977BDC" w:rsidRPr="0011733D">
      <w:rPr>
        <w:rFonts w:ascii="Arial" w:hAnsi="Arial" w:cs="Arial"/>
        <w:b/>
        <w:bCs/>
        <w:sz w:val="16"/>
        <w:szCs w:val="16"/>
      </w:rPr>
      <w:fldChar w:fldCharType="end"/>
    </w:r>
    <w:r w:rsidRPr="0011733D">
      <w:rPr>
        <w:rFonts w:ascii="Arial" w:hAnsi="Arial" w:cs="Arial"/>
        <w:sz w:val="16"/>
        <w:szCs w:val="16"/>
      </w:rPr>
      <w:t xml:space="preserve"> z </w:t>
    </w:r>
    <w:r w:rsidR="00977BDC" w:rsidRPr="0011733D">
      <w:rPr>
        <w:rFonts w:ascii="Arial" w:hAnsi="Arial" w:cs="Arial"/>
        <w:b/>
        <w:bCs/>
        <w:sz w:val="16"/>
        <w:szCs w:val="16"/>
      </w:rPr>
      <w:fldChar w:fldCharType="begin"/>
    </w:r>
    <w:r w:rsidRPr="0011733D">
      <w:rPr>
        <w:rFonts w:ascii="Arial" w:hAnsi="Arial" w:cs="Arial"/>
        <w:b/>
        <w:bCs/>
        <w:sz w:val="16"/>
        <w:szCs w:val="16"/>
      </w:rPr>
      <w:instrText>NUMPAGES</w:instrText>
    </w:r>
    <w:r w:rsidR="00977BDC" w:rsidRPr="0011733D">
      <w:rPr>
        <w:rFonts w:ascii="Arial" w:hAnsi="Arial" w:cs="Arial"/>
        <w:b/>
        <w:bCs/>
        <w:sz w:val="16"/>
        <w:szCs w:val="16"/>
      </w:rPr>
      <w:fldChar w:fldCharType="separate"/>
    </w:r>
    <w:r w:rsidR="00D87BD2">
      <w:rPr>
        <w:rFonts w:ascii="Arial" w:hAnsi="Arial" w:cs="Arial"/>
        <w:b/>
        <w:bCs/>
        <w:noProof/>
        <w:sz w:val="16"/>
        <w:szCs w:val="16"/>
      </w:rPr>
      <w:t>32</w:t>
    </w:r>
    <w:r w:rsidR="00977BDC"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8C" w:rsidRDefault="000D708C">
      <w:r>
        <w:separator/>
      </w:r>
    </w:p>
  </w:footnote>
  <w:footnote w:type="continuationSeparator" w:id="0">
    <w:p w:rsidR="000D708C" w:rsidRDefault="000D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25.01.2023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77BDC"/>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87BD2"/>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5:docId w15:val="{F401AF7F-8739-4511-8C0B-555CF26F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16286</Words>
  <Characters>97717</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2023-01-25T08:00:00Z</dcterms:created>
  <dcterms:modified xsi:type="dcterms:W3CDTF">2023-01-25T08:00:00Z</dcterms:modified>
</cp:coreProperties>
</file>